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ind w:firstLine="880" w:firstLineChars="200"/>
        <w:jc w:val="center"/>
        <w:textAlignment w:val="auto"/>
        <w:rPr>
          <w:rFonts w:hint="eastAsia" w:ascii="方正小标宋简体" w:hAnsi="宋体" w:eastAsia="方正小标宋简体" w:cs="宋体"/>
          <w:bCs/>
          <w:kern w:val="36"/>
          <w:sz w:val="44"/>
          <w:szCs w:val="44"/>
          <w:lang w:val="en-US" w:eastAsia="zh-CN" w:bidi="ar-SA"/>
        </w:rPr>
      </w:pPr>
      <w:r>
        <w:rPr>
          <w:rFonts w:hint="eastAsia" w:ascii="方正小标宋简体" w:hAnsi="宋体" w:eastAsia="方正小标宋简体" w:cs="宋体"/>
          <w:bCs/>
          <w:kern w:val="36"/>
          <w:sz w:val="44"/>
          <w:szCs w:val="44"/>
          <w:lang w:val="en-US" w:eastAsia="zh-CN" w:bidi="ar-SA"/>
        </w:rPr>
        <w:t>期货交易结算结果查询方式</w:t>
      </w:r>
    </w:p>
    <w:p>
      <w:pPr>
        <w:pStyle w:val="4"/>
        <w:keepNext w:val="0"/>
        <w:keepLines w:val="0"/>
        <w:pageBreakBefore w:val="0"/>
        <w:widowControl w:val="0"/>
        <w:kinsoku/>
        <w:wordWrap/>
        <w:overflowPunct/>
        <w:topLinePunct w:val="0"/>
        <w:autoSpaceDE/>
        <w:autoSpaceDN/>
        <w:bidi w:val="0"/>
        <w:adjustRightInd w:val="0"/>
        <w:snapToGrid/>
        <w:ind w:firstLine="640" w:firstLineChars="200"/>
        <w:jc w:val="center"/>
        <w:textAlignment w:val="auto"/>
        <w:rPr>
          <w:rFonts w:hint="eastAsia" w:ascii="黑体" w:hAnsi="黑体" w:eastAsia="黑体" w:cs="Times New Roman"/>
          <w:kern w:val="2"/>
          <w:sz w:val="32"/>
          <w:szCs w:val="32"/>
          <w:lang w:val="en-US" w:eastAsia="zh-CN" w:bidi="ar-SA"/>
        </w:rPr>
      </w:pPr>
    </w:p>
    <w:p>
      <w:pPr>
        <w:keepNext w:val="0"/>
        <w:keepLines w:val="0"/>
        <w:pageBreakBefore w:val="0"/>
        <w:widowControl w:val="0"/>
        <w:tabs>
          <w:tab w:val="left" w:pos="1200"/>
        </w:tabs>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一、兴业期货交易结算结果查询方式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（一）投资者每日根据《期货经纪合同》中载明的查询用户名和查询密码登录到中国期货保证金监控中心网站，查询其在期货公司的期货保证金账户信息和期货公司为投资者提供的结算信息。网址：www.cfmmc.com；</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（二）通过兴业期货交易系统终端查询。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sz w:val="28"/>
          <w:szCs w:val="28"/>
        </w:rPr>
      </w:pPr>
      <w:bookmarkStart w:id="0" w:name="_GoBack"/>
      <w:bookmarkEnd w:id="0"/>
    </w:p>
    <w:p>
      <w:pPr>
        <w:keepNext w:val="0"/>
        <w:keepLines w:val="0"/>
        <w:pageBreakBefore w:val="0"/>
        <w:widowControl w:val="0"/>
        <w:tabs>
          <w:tab w:val="left" w:pos="1200"/>
        </w:tabs>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二、福能期货交易结算结果查询方式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（一）投资者每日根据《期货经纪合同》中载明的查询用户名和查询密码登录到中国期货保证金监控中心网站，查询其在期货公司的期货保证金账户信息和期货公司为投资者提供的结算信息。网址：www.cfmmc.com；</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（二）通过福能期货交易系统终端查询。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NDQ0NWM2MGM2NWIzNGNkNTRkYjZjMjZmMGI1NjMifQ=="/>
  </w:docVars>
  <w:rsids>
    <w:rsidRoot w:val="3A8D4414"/>
    <w:rsid w:val="127C5DD7"/>
    <w:rsid w:val="33164DF7"/>
    <w:rsid w:val="39C25162"/>
    <w:rsid w:val="3A8D4414"/>
    <w:rsid w:val="46820877"/>
    <w:rsid w:val="4ACC5762"/>
    <w:rsid w:val="5EFD6633"/>
    <w:rsid w:val="682B5A45"/>
    <w:rsid w:val="717A2D2F"/>
    <w:rsid w:val="755A7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121</Words>
  <Characters>133</Characters>
  <Lines>0</Lines>
  <Paragraphs>0</Paragraphs>
  <TotalTime>1</TotalTime>
  <ScaleCrop>false</ScaleCrop>
  <LinksUpToDate>false</LinksUpToDate>
  <CharactersWithSpaces>133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2022-07-06T02:26:00Z</dcterms:created>
  <dc:creator>陈萃</dc:creator>
  <cp:lastModifiedBy>陈萃</cp:lastModifiedBy>
  <dcterms:modified xsi:type="dcterms:W3CDTF">2022-07-08T02:11:21Z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3C83614DF0F5400B8C28AEEF77B317E5</vt:lpwstr>
  </property>
</Properties>
</file>